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07" w:rsidRDefault="00125A07" w:rsidP="00125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 do Zał. Nr 3 objaśnienia WPF - dotyczy str. 30 - doprec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yzowanie</w:t>
      </w:r>
    </w:p>
    <w:p w:rsidR="00125A07" w:rsidRDefault="00125A07" w:rsidP="00125A07">
      <w:pPr>
        <w:rPr>
          <w:rFonts w:ascii="Times New Roman" w:hAnsi="Times New Roman" w:cs="Times New Roman"/>
          <w:sz w:val="24"/>
          <w:szCs w:val="24"/>
        </w:rPr>
      </w:pPr>
    </w:p>
    <w:p w:rsidR="00125A07" w:rsidRPr="00125A07" w:rsidRDefault="00125A07" w:rsidP="00125A07">
      <w:pPr>
        <w:rPr>
          <w:rFonts w:ascii="Times New Roman" w:hAnsi="Times New Roman" w:cs="Times New Roman"/>
          <w:sz w:val="24"/>
          <w:szCs w:val="24"/>
        </w:rPr>
      </w:pPr>
      <w:r w:rsidRPr="00125A07">
        <w:rPr>
          <w:rFonts w:ascii="Times New Roman" w:hAnsi="Times New Roman" w:cs="Times New Roman"/>
          <w:sz w:val="24"/>
          <w:szCs w:val="24"/>
        </w:rPr>
        <w:t>Relacja zrównoważenia wydatków bieżących, o których mowa w art. 242 ustawy (kol. 8), w tym:</w:t>
      </w:r>
    </w:p>
    <w:p w:rsidR="00125A07" w:rsidRPr="00125A07" w:rsidRDefault="00125A07" w:rsidP="00125A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5A07">
        <w:rPr>
          <w:rFonts w:ascii="Times New Roman" w:hAnsi="Times New Roman" w:cs="Times New Roman"/>
          <w:sz w:val="24"/>
          <w:szCs w:val="24"/>
        </w:rPr>
        <w:t xml:space="preserve">- Różnica między dochodami bieżącymi a wydatkami bieżącymi 2020 r. – po zmianie </w:t>
      </w:r>
      <w:r>
        <w:rPr>
          <w:rFonts w:ascii="Times New Roman" w:hAnsi="Times New Roman" w:cs="Times New Roman"/>
          <w:sz w:val="24"/>
          <w:szCs w:val="24"/>
        </w:rPr>
        <w:t xml:space="preserve"> (ujemna ) 144.570,69 zł </w:t>
      </w:r>
      <w:r w:rsidRPr="00125A07">
        <w:rPr>
          <w:rFonts w:ascii="Times New Roman" w:hAnsi="Times New Roman" w:cs="Times New Roman"/>
          <w:color w:val="FF0000"/>
          <w:sz w:val="24"/>
          <w:szCs w:val="24"/>
        </w:rPr>
        <w:t>(fina</w:t>
      </w:r>
      <w:r w:rsidRPr="00125A07">
        <w:rPr>
          <w:rFonts w:ascii="Times New Roman" w:hAnsi="Times New Roman" w:cs="Times New Roman"/>
          <w:color w:val="FF0000"/>
          <w:sz w:val="24"/>
          <w:szCs w:val="24"/>
        </w:rPr>
        <w:t>ns</w:t>
      </w:r>
      <w:r w:rsidRPr="00125A07">
        <w:rPr>
          <w:rFonts w:ascii="Times New Roman" w:hAnsi="Times New Roman" w:cs="Times New Roman"/>
          <w:color w:val="FF0000"/>
          <w:sz w:val="24"/>
          <w:szCs w:val="24"/>
        </w:rPr>
        <w:t>owanie  z wolnych środków, o któ</w:t>
      </w:r>
      <w:r w:rsidRPr="00125A07">
        <w:rPr>
          <w:rFonts w:ascii="Times New Roman" w:hAnsi="Times New Roman" w:cs="Times New Roman"/>
          <w:color w:val="FF0000"/>
          <w:sz w:val="24"/>
          <w:szCs w:val="24"/>
        </w:rPr>
        <w:t>rych mowa z art 217 ust.2 pkt 2 ustawy o finansach publicznych).</w:t>
      </w:r>
    </w:p>
    <w:p w:rsidR="00331866" w:rsidRPr="00125A07" w:rsidRDefault="00125A07" w:rsidP="00125A07">
      <w:pPr>
        <w:rPr>
          <w:rFonts w:ascii="Times New Roman" w:hAnsi="Times New Roman" w:cs="Times New Roman"/>
          <w:sz w:val="24"/>
          <w:szCs w:val="24"/>
        </w:rPr>
      </w:pPr>
      <w:r w:rsidRPr="00125A07">
        <w:rPr>
          <w:rFonts w:ascii="Times New Roman" w:hAnsi="Times New Roman" w:cs="Times New Roman"/>
          <w:sz w:val="24"/>
          <w:szCs w:val="24"/>
        </w:rPr>
        <w:t>- Różnica między dochodami bieżącymi, skorygowanymi o wolne środki, a wydatkami bieżącymi 2020 r. – po zmianie  4.193.789,50 zł.</w:t>
      </w:r>
    </w:p>
    <w:sectPr w:rsidR="00331866" w:rsidRPr="0012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07"/>
    <w:rsid w:val="00125A07"/>
    <w:rsid w:val="00DB677F"/>
    <w:rsid w:val="00F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6F4"/>
  <w15:chartTrackingRefBased/>
  <w15:docId w15:val="{1BD6F9DA-7339-4C4C-8739-15AE81B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</dc:creator>
  <cp:keywords/>
  <dc:description/>
  <cp:lastModifiedBy>Anna Krupa</cp:lastModifiedBy>
  <cp:revision>1</cp:revision>
  <dcterms:created xsi:type="dcterms:W3CDTF">2020-11-25T10:59:00Z</dcterms:created>
  <dcterms:modified xsi:type="dcterms:W3CDTF">2020-11-25T11:01:00Z</dcterms:modified>
</cp:coreProperties>
</file>