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0"/>
          <w:szCs w:val="20"/>
        </w:rPr>
        <w:t xml:space="preserve"> </w:t>
      </w:r>
      <w:r w:rsidRPr="00F81130">
        <w:rPr>
          <w:rFonts w:ascii="Times New Roman" w:hAnsi="Times New Roman" w:cs="Times New Roman"/>
          <w:sz w:val="24"/>
          <w:szCs w:val="24"/>
        </w:rPr>
        <w:t xml:space="preserve"> Załącznik Nr 3 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do Uchwały Nr………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 xml:space="preserve"> z dnia ……….. 2025 r.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>OBJAŚNIENIA DO WIELOLETNIEJ PROGNOZY FINANSOWEJ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 xml:space="preserve">MIASTA ŻYRARDOWA 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>Wstęp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Wprowadzone zmiany dotyczą:</w:t>
      </w:r>
    </w:p>
    <w:p w:rsidR="00F81130" w:rsidRPr="00F81130" w:rsidRDefault="00F81130" w:rsidP="00F81130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bieżącego roku i wynikają ze zmian jakie zostały wprowadzone do budżetu gminy Miasta Żyrardowa: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- Zarządzeniem Nr 61/25 Prezydenta Miasta Żyrardowa z dnia 28 lutego 2025 r.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- Zarządzeniem Nr 77/25 Prezydenta Miasta Żyrardowa z dnia 17 marca 2025 r.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- Uchwałą budżetową Rady Miasta Żyrardowa.</w:t>
      </w:r>
    </w:p>
    <w:p w:rsidR="00F81130" w:rsidRPr="00F81130" w:rsidRDefault="00F81130" w:rsidP="00F811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- zmiana w latach 2025-2028 - w części Finansowanie programów, projektów lub zadań realizowanych z udziałem środków, o których mowa w art. 5 ust. 1 pkt 2 i 3 ustawy – dotyczy finansowania realizacji przedsięwzięcia pn. „Zwiększenie samodzielności seniorów w miejscu ich zamieszkania (RMR)”.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Zmiany w bieżącym roku: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Dochody ogółem </w:t>
      </w:r>
      <w:r w:rsidRPr="00F81130">
        <w:rPr>
          <w:rFonts w:ascii="Times New Roman" w:hAnsi="Times New Roman" w:cs="Times New Roman"/>
          <w:color w:val="000000"/>
          <w:sz w:val="24"/>
          <w:szCs w:val="24"/>
        </w:rPr>
        <w:t>zostały zwiększone o kwotę 1.356.361,77 zł, po zmianie wynoszą 326.595.881,25 zł.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130">
        <w:rPr>
          <w:rFonts w:ascii="Times New Roman" w:hAnsi="Times New Roman" w:cs="Times New Roman"/>
          <w:b/>
          <w:bCs/>
          <w:sz w:val="24"/>
          <w:szCs w:val="24"/>
        </w:rPr>
        <w:tab/>
        <w:t>Dochody bieżące</w:t>
      </w:r>
      <w:r w:rsidRPr="00F81130">
        <w:rPr>
          <w:rFonts w:ascii="Times New Roman" w:hAnsi="Times New Roman" w:cs="Times New Roman"/>
          <w:color w:val="000000"/>
          <w:sz w:val="24"/>
          <w:szCs w:val="24"/>
        </w:rPr>
        <w:t xml:space="preserve"> zostały zwiększone o kwotę 1.320.597,69 zł, po zmianie wynoszą 270.319.452,03 zł.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color w:val="000000"/>
          <w:sz w:val="24"/>
          <w:szCs w:val="24"/>
        </w:rPr>
        <w:t>Zmiany w dochodach bieżących w układzie grup wynikających z konstrukcji Wieloletniej Prognozy Finansowej: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color w:val="000000"/>
          <w:sz w:val="24"/>
          <w:szCs w:val="24"/>
        </w:rPr>
        <w:t>-  z subwencji ogólnej – 757.569,00 zł;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color w:val="000000"/>
          <w:sz w:val="24"/>
          <w:szCs w:val="24"/>
        </w:rPr>
        <w:t>- z tytułu dotacji i środków przeznaczonych na cele bieżące – zwiększenie o kwotę 432.656,00 zł, po zmianie wynoszą 27.334.545,60 zł;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color w:val="000000"/>
          <w:sz w:val="24"/>
          <w:szCs w:val="24"/>
        </w:rPr>
        <w:t>-  pozostałe dochody – zwiększenie o kwotę 130.372,69 zł, po zmianie wynoszą 77.366.148,04 zł;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Dochody majątkowe</w:t>
      </w:r>
      <w:r w:rsidRPr="00F81130">
        <w:rPr>
          <w:rFonts w:ascii="Times New Roman" w:hAnsi="Times New Roman" w:cs="Times New Roman"/>
          <w:color w:val="000000"/>
          <w:sz w:val="24"/>
          <w:szCs w:val="24"/>
        </w:rPr>
        <w:t xml:space="preserve"> zostały zwiększone o kwotę 35.764,08 zł, po zmianie wynoszą 56.276.429,22 zł.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color w:val="000000"/>
          <w:sz w:val="24"/>
          <w:szCs w:val="24"/>
        </w:rPr>
        <w:t>Zmiany w dochodach majątkowych w układzie grup wynikających z konstrukcji Wieloletniej Prognozy Finansowej: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color w:val="000000"/>
          <w:sz w:val="24"/>
          <w:szCs w:val="24"/>
        </w:rPr>
        <w:t>- ze sprzedaży majątku – zwiększenie o kwotę 35.764,08 zł, po zmianie wynoszą 9.035.764,08 zł.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Wydatki ogółem </w:t>
      </w:r>
      <w:r w:rsidRPr="00F81130">
        <w:rPr>
          <w:rFonts w:ascii="Times New Roman" w:hAnsi="Times New Roman" w:cs="Times New Roman"/>
          <w:color w:val="000000"/>
          <w:sz w:val="24"/>
          <w:szCs w:val="24"/>
        </w:rPr>
        <w:t>zwiększenie o kwotę 1.356.361,77 zł, po zmianie wynoszą 350.518.093,24 zł.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2.1. Wydatki bieżące</w:t>
      </w:r>
      <w:r w:rsidRPr="00F81130">
        <w:rPr>
          <w:rFonts w:ascii="Times New Roman" w:hAnsi="Times New Roman" w:cs="Times New Roman"/>
          <w:color w:val="000000"/>
          <w:sz w:val="24"/>
          <w:szCs w:val="24"/>
        </w:rPr>
        <w:t xml:space="preserve"> – zwiększenie o kwotę 1.286.361,77 zł, po zmianie wynoszą 250.903.509,71 zł.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color w:val="000000"/>
          <w:sz w:val="24"/>
          <w:szCs w:val="24"/>
        </w:rPr>
        <w:t>Zmiany w wydatkach bieżących w układzie grup wynikających z konstrukcji Wieloletniej Prognozy Finansowej: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color w:val="000000"/>
          <w:sz w:val="24"/>
          <w:szCs w:val="24"/>
        </w:rPr>
        <w:t>- na wynagrodzenia i składki od nich naliczane - zwiększenie o kwotę 1.126.427,21 zł, po zmianie wynoszą 108.967.607,19 zł,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color w:val="000000"/>
          <w:sz w:val="24"/>
          <w:szCs w:val="24"/>
        </w:rPr>
        <w:t xml:space="preserve">-  z tytułu gwarancji i poręczeń – zmniejszenie o kwotę 104.800,11 zł, po zmianie wynoszą 2.553.549,21 zł. 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2.2. Wydatki majątkowe</w:t>
      </w:r>
      <w:r w:rsidRPr="00F81130">
        <w:rPr>
          <w:rFonts w:ascii="Times New Roman" w:hAnsi="Times New Roman" w:cs="Times New Roman"/>
          <w:color w:val="000000"/>
          <w:sz w:val="24"/>
          <w:szCs w:val="24"/>
        </w:rPr>
        <w:t xml:space="preserve"> – zwiększenie o kwotę 70.000,00 zł, po zmianie wynoszą 99.614.583,53 zł, w tym: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F81130">
        <w:rPr>
          <w:rFonts w:ascii="Times New Roman" w:hAnsi="Times New Roman" w:cs="Times New Roman"/>
          <w:b/>
          <w:bCs/>
          <w:sz w:val="24"/>
          <w:szCs w:val="24"/>
        </w:rPr>
        <w:t>wniesienie wkładów do spółek prawa handlowego</w:t>
      </w:r>
      <w:r w:rsidRPr="00F81130">
        <w:rPr>
          <w:rFonts w:ascii="Times New Roman" w:hAnsi="Times New Roman" w:cs="Times New Roman"/>
          <w:sz w:val="24"/>
          <w:szCs w:val="24"/>
        </w:rPr>
        <w:t xml:space="preserve">, którym powierzono zadania mające charakter usług świadczonych w ogólnym interesie gospodarczym – bez zmian tj. 15.035.000,00 zł. </w:t>
      </w:r>
    </w:p>
    <w:p w:rsidR="00F81130" w:rsidRPr="00F81130" w:rsidRDefault="00F81130" w:rsidP="00F81130">
      <w:pPr>
        <w:tabs>
          <w:tab w:val="left" w:pos="42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 xml:space="preserve">- </w:t>
      </w:r>
      <w:r w:rsidRPr="00F81130">
        <w:rPr>
          <w:rFonts w:ascii="Times New Roman" w:hAnsi="Times New Roman" w:cs="Times New Roman"/>
          <w:b/>
          <w:bCs/>
          <w:sz w:val="24"/>
          <w:szCs w:val="24"/>
        </w:rPr>
        <w:t xml:space="preserve">inwestycje i zakupy inwestycyjne, o których mowa w art. 236 ust.4 pkt 1 ustawy </w:t>
      </w:r>
      <w:r w:rsidRPr="00F81130">
        <w:rPr>
          <w:rFonts w:ascii="Times New Roman" w:hAnsi="Times New Roman" w:cs="Times New Roman"/>
          <w:sz w:val="24"/>
          <w:szCs w:val="24"/>
        </w:rPr>
        <w:t>zwiększenie o kwotę 70.000,00 zł, po zmianie wynoszą 84.579.583,53 zł, w tym: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color w:val="000000"/>
          <w:sz w:val="24"/>
          <w:szCs w:val="24"/>
        </w:rPr>
        <w:t>- wpłata na Fundusz Wsparcia Policji z przeznaczeniem na zakup pojazdu służbowego typu furgon patrolowy na potrzeby realizacji służby patrolowej na terenie Żyrardowa – bez zmian, tj.: 100.000,00 zł.</w:t>
      </w:r>
    </w:p>
    <w:p w:rsidR="00F81130" w:rsidRPr="00F81130" w:rsidRDefault="00F81130" w:rsidP="00F81130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color w:val="000000"/>
          <w:sz w:val="24"/>
          <w:szCs w:val="24"/>
        </w:rPr>
        <w:t>- wydatki inwestycyjne jednoroczne - zwiększenie o 70.000,00 zł, po zmianie 7.284.464,35 zł;</w:t>
      </w:r>
      <w:r w:rsidRPr="00F81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130">
        <w:rPr>
          <w:rFonts w:ascii="Times New Roman" w:hAnsi="Times New Roman" w:cs="Times New Roman"/>
          <w:color w:val="000000"/>
          <w:sz w:val="24"/>
          <w:szCs w:val="24"/>
        </w:rPr>
        <w:t>- wydatki inwestycyjne wieloletnie – wynoszą 75.408.780,38 zł, zgodnie z załącznikiem nr 2 Przedsięwzięcia.</w:t>
      </w:r>
    </w:p>
    <w:p w:rsidR="00F81130" w:rsidRPr="00F81130" w:rsidRDefault="00F81130" w:rsidP="00F81130">
      <w:pPr>
        <w:widowControl w:val="0"/>
        <w:tabs>
          <w:tab w:val="left" w:pos="2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ab/>
        <w:t>- wydatki o charakterze dotacyjnym na inwestycje i zakupy inwestycyjne bez zmian, tj. 1.786.388,80 zł, z przeznaczeniem na: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ab/>
        <w:t xml:space="preserve">- dofinansowanie zadania pn. ,,Ciepłe Mieszkanie” – bez zmian, tj. 1.327.500,00 zł, </w:t>
      </w:r>
    </w:p>
    <w:p w:rsidR="00F81130" w:rsidRPr="00F81130" w:rsidRDefault="00F81130" w:rsidP="00F811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lastRenderedPageBreak/>
        <w:tab/>
        <w:t>- dofinansowanie kosztów wymiany źródeł ciepła w ramach ograniczania niskiej emisji na terenie Miasta Żyrardowa – bez zmian, tj. 200.000,00 zł;</w:t>
      </w:r>
    </w:p>
    <w:p w:rsidR="00F81130" w:rsidRPr="00F81130" w:rsidRDefault="00F81130" w:rsidP="00F81130">
      <w:pPr>
        <w:tabs>
          <w:tab w:val="left" w:pos="708"/>
          <w:tab w:val="left" w:pos="1077"/>
          <w:tab w:val="left" w:pos="226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ab/>
        <w:t>-</w:t>
      </w:r>
      <w:r w:rsidRPr="00F81130">
        <w:rPr>
          <w:rFonts w:ascii="Times New Roman" w:hAnsi="Times New Roman" w:cs="Times New Roman"/>
          <w:color w:val="000000"/>
          <w:sz w:val="24"/>
          <w:szCs w:val="24"/>
        </w:rPr>
        <w:t xml:space="preserve"> d</w:t>
      </w:r>
      <w:r w:rsidRPr="00F81130">
        <w:rPr>
          <w:rFonts w:ascii="Times New Roman" w:hAnsi="Times New Roman" w:cs="Times New Roman"/>
          <w:sz w:val="24"/>
          <w:szCs w:val="24"/>
        </w:rPr>
        <w:t xml:space="preserve">ofinansowanie prac konserwatorskich, restauratorskich lub robót budowlanych przy zabytkach – bez zmian, tj. </w:t>
      </w:r>
      <w:r w:rsidRPr="00F81130">
        <w:rPr>
          <w:rFonts w:ascii="Times New Roman" w:hAnsi="Times New Roman" w:cs="Times New Roman"/>
          <w:color w:val="000000"/>
          <w:sz w:val="24"/>
          <w:szCs w:val="24"/>
        </w:rPr>
        <w:t>100.000,00 zł;</w:t>
      </w:r>
    </w:p>
    <w:p w:rsidR="00F81130" w:rsidRPr="00F81130" w:rsidRDefault="00F81130" w:rsidP="00F81130">
      <w:pPr>
        <w:tabs>
          <w:tab w:val="left" w:pos="708"/>
          <w:tab w:val="left" w:pos="1077"/>
          <w:tab w:val="left" w:pos="2268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na zadanie „ Remont i przebudowa pomieszczeń Centrum Kultury w Żyrardowie” – bez zmian, tj. 158.838,80 zł.  </w:t>
      </w:r>
    </w:p>
    <w:p w:rsidR="00F81130" w:rsidRPr="00F81130" w:rsidRDefault="00F81130" w:rsidP="00F811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130" w:rsidRPr="00F81130" w:rsidRDefault="00F81130" w:rsidP="00F811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 xml:space="preserve">Wynik budżetu stanowi deficyt i wynosi – </w:t>
      </w:r>
      <w:r w:rsidRPr="00F81130">
        <w:rPr>
          <w:rFonts w:ascii="Times New Roman" w:hAnsi="Times New Roman" w:cs="Times New Roman"/>
          <w:sz w:val="24"/>
          <w:szCs w:val="24"/>
        </w:rPr>
        <w:t>23.922.211,99 zł, który zostanie sfinansowany z przychodów budżetu.</w:t>
      </w:r>
    </w:p>
    <w:p w:rsidR="00F81130" w:rsidRPr="00F81130" w:rsidRDefault="00F81130" w:rsidP="00F811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color w:val="0000FF"/>
          <w:sz w:val="24"/>
          <w:szCs w:val="24"/>
        </w:rPr>
        <w:t>Przychody budżetu stanowi kwota  33.112.324,49 zł.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color w:val="0000FF"/>
          <w:sz w:val="24"/>
          <w:szCs w:val="24"/>
        </w:rPr>
        <w:t>Przychody w układzie grup wynikających z konstrukcji Wieloletniej Prognozy Finansowej:</w:t>
      </w:r>
    </w:p>
    <w:p w:rsidR="00F81130" w:rsidRPr="00F81130" w:rsidRDefault="00F81130" w:rsidP="00F81130">
      <w:pPr>
        <w:numPr>
          <w:ilvl w:val="0"/>
          <w:numId w:val="2"/>
        </w:numPr>
        <w:tabs>
          <w:tab w:val="left" w:pos="2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81130">
        <w:rPr>
          <w:rFonts w:ascii="Times New Roman" w:hAnsi="Times New Roman" w:cs="Times New Roman"/>
          <w:color w:val="0000FF"/>
          <w:sz w:val="24"/>
          <w:szCs w:val="24"/>
        </w:rPr>
        <w:t xml:space="preserve">Kredyty, pożyczki, emisja papierów wartościowych – bez zmian, tj. 26.538.066,08 zł, w tym na pokrycie deficytu budżetowego - 23.314.913,48 zł. </w:t>
      </w:r>
    </w:p>
    <w:p w:rsidR="00F81130" w:rsidRPr="00F81130" w:rsidRDefault="00F81130" w:rsidP="00F81130">
      <w:pPr>
        <w:numPr>
          <w:ilvl w:val="0"/>
          <w:numId w:val="2"/>
        </w:numPr>
        <w:tabs>
          <w:tab w:val="left" w:pos="2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81130">
        <w:rPr>
          <w:rFonts w:ascii="Times New Roman" w:hAnsi="Times New Roman" w:cs="Times New Roman"/>
          <w:color w:val="0000FF"/>
          <w:sz w:val="24"/>
          <w:szCs w:val="24"/>
        </w:rPr>
        <w:t>Nadwyżka budżetowa z lat ubiegłych - bez zmian, tj.: 607.298,51 zł, w tym na pokrycie deficytu budżetowego 607.298,51 zł, w tym:</w:t>
      </w:r>
    </w:p>
    <w:p w:rsidR="00F81130" w:rsidRPr="00F81130" w:rsidRDefault="00F81130" w:rsidP="00F81130">
      <w:pPr>
        <w:tabs>
          <w:tab w:val="left" w:pos="2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81130">
        <w:rPr>
          <w:rFonts w:ascii="Times New Roman" w:hAnsi="Times New Roman" w:cs="Times New Roman"/>
          <w:color w:val="0000FF"/>
          <w:sz w:val="24"/>
          <w:szCs w:val="24"/>
        </w:rPr>
        <w:t>- przychody jednostek samorządu terytorialnego z wynikających z rozliczenia środków określonych w art. 5 ust. 1 pkt 2 ustawy i dotacji na realizację programu, projektu lub zadania finansowanego z udziałem tych środków - 287.988,66 zł. Dotyczą zadania „Mieszkanie Treningowe dla wychowanków pieczy zastępczej i osób bezdomnych do 30 roku życia”- 33.000,00 zł oraz zadania „Cyfrowy Żyrardów” – 254.988,06 zł.</w:t>
      </w:r>
    </w:p>
    <w:p w:rsidR="00F81130" w:rsidRPr="00F81130" w:rsidRDefault="00F81130" w:rsidP="00F81130">
      <w:pPr>
        <w:tabs>
          <w:tab w:val="left" w:pos="2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81130">
        <w:rPr>
          <w:rFonts w:ascii="Times New Roman" w:hAnsi="Times New Roman" w:cs="Times New Roman"/>
          <w:color w:val="0000FF"/>
          <w:sz w:val="24"/>
          <w:szCs w:val="24"/>
        </w:rPr>
        <w:t>- przychody jednostek samorządu terytorialnego z niewykorzystanych środków pieniężnych na rachunku bieżącym budżetu, wynikających z rozliczenia dochodów i wydatków nimi finansowanych związanych ze szczególnymi zasadami wykonywania budżetu określonymi w odrębnych ustawach - 319.309,85 zł.</w:t>
      </w:r>
    </w:p>
    <w:p w:rsidR="00F81130" w:rsidRPr="00F81130" w:rsidRDefault="00F81130" w:rsidP="00F81130">
      <w:pPr>
        <w:numPr>
          <w:ilvl w:val="0"/>
          <w:numId w:val="2"/>
        </w:numPr>
        <w:tabs>
          <w:tab w:val="left" w:pos="2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81130">
        <w:rPr>
          <w:rFonts w:ascii="Times New Roman" w:hAnsi="Times New Roman" w:cs="Times New Roman"/>
          <w:color w:val="0000FF"/>
          <w:sz w:val="24"/>
          <w:szCs w:val="24"/>
        </w:rPr>
        <w:t xml:space="preserve">Wolne środki, o których mowa w art. 217 ust. 2 pkt 6 ustawy – bez zmian, tj. 5.300.295,90 zł. </w:t>
      </w:r>
    </w:p>
    <w:p w:rsidR="00F81130" w:rsidRPr="00F81130" w:rsidRDefault="00F81130" w:rsidP="00F81130">
      <w:pPr>
        <w:numPr>
          <w:ilvl w:val="0"/>
          <w:numId w:val="2"/>
        </w:numPr>
        <w:tabs>
          <w:tab w:val="left" w:pos="2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81130">
        <w:rPr>
          <w:rFonts w:ascii="Times New Roman" w:hAnsi="Times New Roman" w:cs="Times New Roman"/>
          <w:color w:val="0000FF"/>
          <w:sz w:val="24"/>
          <w:szCs w:val="24"/>
        </w:rPr>
        <w:t>Przychody ze spłat pożyczek i kredytów udzielonych ze środków publicznych – bez zmian. Zaplanowane kwoty dotyczące spłaty udzielonej przez miasto Żyrardów pożyczki dla Przedsiębiorstwa Energetyki Cieplnej „Żyrardów” sp. z.o.o.: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81130">
        <w:rPr>
          <w:rFonts w:ascii="Times New Roman" w:hAnsi="Times New Roman" w:cs="Times New Roman"/>
          <w:color w:val="0000FF"/>
          <w:sz w:val="24"/>
          <w:szCs w:val="24"/>
        </w:rPr>
        <w:t>- 2025 r. – 666.664,00 zł,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81130">
        <w:rPr>
          <w:rFonts w:ascii="Times New Roman" w:hAnsi="Times New Roman" w:cs="Times New Roman"/>
          <w:color w:val="0000FF"/>
          <w:sz w:val="24"/>
          <w:szCs w:val="24"/>
        </w:rPr>
        <w:t>- 2026 r. – 166.674,00 zł.</w:t>
      </w:r>
    </w:p>
    <w:p w:rsidR="00F81130" w:rsidRPr="00F81130" w:rsidRDefault="00F81130" w:rsidP="00F8113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Relacja zrównoważenia wydatków bieżących, o których mowa w art. 242 ustawy (kol. 8) po zmianie</w:t>
      </w:r>
      <w:r w:rsidRPr="00F811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Ind w:w="-6" w:type="dxa"/>
        <w:tblLayout w:type="fixed"/>
        <w:tblCellMar>
          <w:left w:w="75" w:type="dxa"/>
          <w:right w:w="77" w:type="dxa"/>
        </w:tblCellMar>
        <w:tblLook w:val="0000" w:firstRow="0" w:lastRow="0" w:firstColumn="0" w:lastColumn="0" w:noHBand="0" w:noVBand="0"/>
      </w:tblPr>
      <w:tblGrid>
        <w:gridCol w:w="887"/>
        <w:gridCol w:w="2230"/>
        <w:gridCol w:w="4747"/>
      </w:tblGrid>
      <w:tr w:rsidR="00F81130" w:rsidRPr="00F81130">
        <w:trPr>
          <w:trHeight w:val="61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130" w:rsidRPr="00F81130" w:rsidRDefault="00F81130" w:rsidP="00F8113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81130" w:rsidRPr="00F81130" w:rsidRDefault="00F81130" w:rsidP="00F8113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7" w:type="dxa"/>
            </w:tcMar>
            <w:vAlign w:val="center"/>
          </w:tcPr>
          <w:p w:rsidR="00F81130" w:rsidRPr="00F81130" w:rsidRDefault="00F81130" w:rsidP="00F811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Różnica miedzy dochodami bieżącymi a wydatkami bieżącymi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Różnica miedzy dochodami bieżącymi a wydatkami bieżącymi skorygowanymi o środki* a wydatkami bieżącymi</w:t>
            </w:r>
          </w:p>
        </w:tc>
      </w:tr>
      <w:tr w:rsidR="00F81130" w:rsidRPr="00F81130">
        <w:tblPrEx>
          <w:tblCellMar>
            <w:right w:w="66" w:type="dxa"/>
          </w:tblCellMar>
        </w:tblPrEx>
        <w:trPr>
          <w:trHeight w:val="359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81130" w:rsidRPr="00F81130" w:rsidRDefault="00F81130" w:rsidP="00F811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left w:w="81" w:type="dxa"/>
              <w:right w:w="71" w:type="dxa"/>
            </w:tcMar>
            <w:vAlign w:val="center"/>
          </w:tcPr>
          <w:p w:rsidR="00F81130" w:rsidRPr="00F81130" w:rsidRDefault="00F81130" w:rsidP="00F811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19 415 942,32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left w:w="91" w:type="dxa"/>
              <w:right w:w="85" w:type="dxa"/>
            </w:tcMar>
            <w:vAlign w:val="center"/>
          </w:tcPr>
          <w:p w:rsidR="00F81130" w:rsidRPr="00F81130" w:rsidRDefault="00F81130" w:rsidP="00F811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25 990 200,73</w:t>
            </w:r>
          </w:p>
        </w:tc>
      </w:tr>
      <w:tr w:rsidR="00F81130" w:rsidRPr="00F81130">
        <w:tblPrEx>
          <w:tblCellMar>
            <w:left w:w="70" w:type="dxa"/>
            <w:right w:w="70" w:type="dxa"/>
          </w:tblCellMar>
        </w:tblPrEx>
        <w:trPr>
          <w:trHeight w:val="88"/>
        </w:trPr>
        <w:tc>
          <w:tcPr>
            <w:tcW w:w="78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130" w:rsidRPr="00F81130" w:rsidRDefault="00F81130" w:rsidP="00F811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 Skorygowanie o środki dotyczy określonego w art. 242 ustawy powiększenia o odpowiednie dla roku prognozy  przychody wskazane w art.217 ust.2 ustawy</w:t>
            </w:r>
          </w:p>
        </w:tc>
      </w:tr>
      <w:tr w:rsidR="00F81130" w:rsidRPr="00F81130">
        <w:tblPrEx>
          <w:tblCellMar>
            <w:left w:w="70" w:type="dxa"/>
            <w:right w:w="70" w:type="dxa"/>
          </w:tblCellMar>
        </w:tblPrEx>
        <w:trPr>
          <w:trHeight w:val="67"/>
        </w:trPr>
        <w:tc>
          <w:tcPr>
            <w:tcW w:w="78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130" w:rsidRPr="00F81130" w:rsidRDefault="00F81130" w:rsidP="00F811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81130" w:rsidRPr="00F81130" w:rsidRDefault="00F81130" w:rsidP="00F81130">
      <w:pPr>
        <w:widowControl w:val="0"/>
        <w:tabs>
          <w:tab w:val="left" w:pos="708"/>
          <w:tab w:val="left" w:pos="885"/>
          <w:tab w:val="left" w:pos="1140"/>
          <w:tab w:val="left" w:pos="1170"/>
          <w:tab w:val="left" w:pos="12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WSKAŹNIK SPŁATY ZOBOWIĄZAŃ</w:t>
      </w:r>
    </w:p>
    <w:p w:rsidR="00F81130" w:rsidRPr="00F81130" w:rsidRDefault="00F81130" w:rsidP="00F81130">
      <w:pPr>
        <w:widowControl w:val="0"/>
        <w:tabs>
          <w:tab w:val="left" w:pos="708"/>
          <w:tab w:val="left" w:pos="885"/>
          <w:tab w:val="left" w:pos="1140"/>
          <w:tab w:val="left" w:pos="1170"/>
          <w:tab w:val="left" w:pos="12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" w:type="dxa"/>
        <w:tblLayout w:type="fixed"/>
        <w:tblCellMar>
          <w:left w:w="75" w:type="dxa"/>
          <w:right w:w="67" w:type="dxa"/>
        </w:tblCellMar>
        <w:tblLook w:val="0000" w:firstRow="0" w:lastRow="0" w:firstColumn="0" w:lastColumn="0" w:noHBand="0" w:noVBand="0"/>
      </w:tblPr>
      <w:tblGrid>
        <w:gridCol w:w="1473"/>
        <w:gridCol w:w="2370"/>
        <w:gridCol w:w="1500"/>
        <w:gridCol w:w="2115"/>
        <w:gridCol w:w="1609"/>
      </w:tblGrid>
      <w:tr w:rsidR="00F81130" w:rsidRPr="00F81130" w:rsidTr="00F81130">
        <w:trPr>
          <w:trHeight w:val="274"/>
        </w:trPr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7594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  <w:right w:w="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Wskaźnik spłaty zobowiązań</w:t>
            </w:r>
          </w:p>
        </w:tc>
      </w:tr>
      <w:tr w:rsidR="00F81130" w:rsidRPr="00F81130">
        <w:trPr>
          <w:trHeight w:val="2967"/>
        </w:trPr>
        <w:tc>
          <w:tcPr>
            <w:tcW w:w="1473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bottom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Relacja określona po lewej stronie nierówności we wzorze, o którym mowa w art. 243 ust. 1 ustawy ( po uwzględnieniu zobowiązań związku współtworzonego przez jednostkę samorządu terytorialnego oraz po uwzględnieniu ustawowych wyłączeń przypadających na dany rok)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bottom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Relacja określona po prawej stronie nierówności we wzorze, o którym mowa w art. 243 ust. 1 ustawy, ustalona dla danego roku (wskaźnik jednoroczny</w:t>
            </w:r>
          </w:p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bottom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Dopuszczalny limit spłaty zobowiązań określony po prawej stronie nierówności we wzorze, o którym mowa w art. 243 ust. 1 ustawy po uwzględnieniu ustawowych wyłączeń, obliczony w oparciu o plan 3. kwartału roku  poprzedzającego pierwszy rok prognozy ( wskaźnik ustalony o oparciu o średnią arytmetyczną z poprzednich lat)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bottom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Dopuszczalny limit spłaty zobowiązań określony po prawej stronie nierówności we wzorze, o którym mowa w art. 243 ust. 1 ustawy po uwzględnieniu ustawowych wyłączeń, obliczony w oparciu o wykonanie roku poprzedzającego pierwszy rok prognozy ( wskaźnik ustalony o oparciu o średnią arytmetyczną z poprzednich lat)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Lp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10"/>
                <w:szCs w:val="10"/>
              </w:rPr>
            </w:pPr>
            <w:r w:rsidRPr="00F81130">
              <w:rPr>
                <w:rFonts w:ascii="Arial Narrow" w:hAnsi="Arial Narrow" w:cs="Arial Narrow"/>
                <w:color w:val="000000"/>
                <w:sz w:val="10"/>
                <w:szCs w:val="10"/>
              </w:rPr>
              <w:t>8.3.1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Wykonanie 2018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16,93%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Wykonanie 2019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14,14%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Wykonanie 2020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7,42%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Wykonanie 2021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17,00%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Wykonanie 2022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8,56%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Wykonanie 2023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17,06%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Plan 3 kw. 2024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9,45%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Wykonanie 2024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7,87%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x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6,67%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11,02%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12,94%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12,71%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6,03%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13,80%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12,09%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11,87%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6,25%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15,41%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12,04%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11,82%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6,28%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16,88%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13,19%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12,96%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6,16%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16,69%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13,17%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FF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FF"/>
                <w:sz w:val="20"/>
                <w:szCs w:val="20"/>
              </w:rPr>
              <w:t>12,94%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6,36%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16,30%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14,33%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FF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FF"/>
                <w:sz w:val="20"/>
                <w:szCs w:val="20"/>
              </w:rPr>
              <w:t>14,10%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5,62%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15,99%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FF"/>
                <w:sz w:val="20"/>
                <w:szCs w:val="20"/>
              </w:rPr>
              <w:t>14,22%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14,00%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5,48%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15,53%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15,16%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15,16%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4,85%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15,14%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15,80%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15,80%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4,19%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14,63%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15,99%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15,99%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3,86%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14,09%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15,88%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15,88%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3,77%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14,04%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15,48%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15,48%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1,83%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13,43%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15,10%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15,10%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lastRenderedPageBreak/>
              <w:t>2038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1,62%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12,78%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14,69%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14,69%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0,89%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12,08%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14,23%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14,23%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0,97%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11,28%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13,74%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13,74%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10,41%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13,19%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13,19%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0,68%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9,42%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12,59%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12,59%</w:t>
            </w:r>
          </w:p>
        </w:tc>
      </w:tr>
      <w:tr w:rsidR="00F81130" w:rsidRPr="00F81130">
        <w:trPr>
          <w:trHeight w:val="274"/>
        </w:trPr>
        <w:tc>
          <w:tcPr>
            <w:tcW w:w="147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0,70%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8,35%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left w:w="6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11,92%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left w:w="6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F81130">
              <w:rPr>
                <w:rFonts w:ascii="Arial Narrow" w:hAnsi="Arial Narrow" w:cs="Arial Narrow"/>
                <w:color w:val="000000"/>
                <w:sz w:val="20"/>
                <w:szCs w:val="20"/>
              </w:rPr>
              <w:t>11,92%</w:t>
            </w:r>
          </w:p>
        </w:tc>
      </w:tr>
    </w:tbl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130" w:rsidRPr="00F81130" w:rsidRDefault="00F81130" w:rsidP="00F8113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 xml:space="preserve">Finansowanie programów, projektów lub zadań realizowanych z udziałem środków, o których mowa w art. 5 ust. 1 pkt 2 i 3 ustawy </w:t>
      </w:r>
    </w:p>
    <w:p w:rsidR="00F81130" w:rsidRPr="00F81130" w:rsidRDefault="00F81130" w:rsidP="00F811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Zmiana w latach 2025-2028 - dotyczy finansowania realizacji przedsięwzięcia pn. „Zwiększenie samodzielności seniorów w miejscu ich zamieszkania (RMR)”.</w:t>
      </w:r>
    </w:p>
    <w:p w:rsidR="00F81130" w:rsidRPr="00F81130" w:rsidRDefault="00F81130" w:rsidP="00F81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color w:val="000000"/>
          <w:sz w:val="24"/>
          <w:szCs w:val="24"/>
        </w:rPr>
        <w:t>Zmiany podyktowane są koniecznością dostosowania do informacji przekazanych od Partnera Wiodącego w Projekcie (MCPS) w dniu 27/02/2025 o zmianie procentowego udziału źródeł finansowania: było UE-85,00% BP -15,00% a obecny podział przedstawia się następująco: UE-89,47% BP -10,53%. Zmianie ulega wiersz w dochodach bieżących i wydatkach bieżących: „środki określone w art. 5 ust. 1 pkt 2 ustawy.</w:t>
      </w:r>
    </w:p>
    <w:p w:rsidR="00F81130" w:rsidRPr="00F81130" w:rsidRDefault="00F81130" w:rsidP="00F81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Wydatki objęte limitem, o którym mowa w art. 226 ust. 3 pkt 4 ustawy </w:t>
      </w:r>
      <w:r w:rsidRPr="00F81130">
        <w:rPr>
          <w:rFonts w:ascii="Times New Roman" w:hAnsi="Times New Roman" w:cs="Times New Roman"/>
          <w:color w:val="000000"/>
          <w:sz w:val="24"/>
          <w:szCs w:val="24"/>
        </w:rPr>
        <w:t>(dotyczy przedsięwzięć wieloletnich opisanych szczegółowo poniżej w części dotyczącej objaśnień do Załącznika Nr 2), z tego:</w:t>
      </w:r>
    </w:p>
    <w:tbl>
      <w:tblPr>
        <w:tblW w:w="0" w:type="auto"/>
        <w:tblInd w:w="-3" w:type="dxa"/>
        <w:tblLayout w:type="fixed"/>
        <w:tblCellMar>
          <w:left w:w="75" w:type="dxa"/>
          <w:right w:w="69" w:type="dxa"/>
        </w:tblCellMar>
        <w:tblLook w:val="0000" w:firstRow="0" w:lastRow="0" w:firstColumn="0" w:lastColumn="0" w:noHBand="0" w:noVBand="0"/>
      </w:tblPr>
      <w:tblGrid>
        <w:gridCol w:w="1780"/>
        <w:gridCol w:w="2020"/>
        <w:gridCol w:w="1440"/>
        <w:gridCol w:w="1418"/>
      </w:tblGrid>
      <w:tr w:rsidR="00F81130" w:rsidRPr="00F81130" w:rsidTr="00F81130">
        <w:trPr>
          <w:trHeight w:val="575"/>
        </w:trPr>
        <w:tc>
          <w:tcPr>
            <w:tcW w:w="1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4878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9" w:type="dxa"/>
              <w:right w:w="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Informacje uzupełniające o wybranych kategoriach finansowych</w:t>
            </w:r>
          </w:p>
        </w:tc>
      </w:tr>
      <w:tr w:rsidR="00F81130" w:rsidRPr="00F81130" w:rsidTr="00F81130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9" w:type="dxa"/>
              <w:right w:w="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Wydatki objęte limitem, o którym mowa w art. 226 ust. 3 pkt 4 ustawy</w:t>
            </w:r>
          </w:p>
        </w:tc>
        <w:tc>
          <w:tcPr>
            <w:tcW w:w="28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1" w:type="dxa"/>
              <w:right w:w="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tego:</w:t>
            </w:r>
          </w:p>
        </w:tc>
      </w:tr>
      <w:tr w:rsidR="00F81130" w:rsidRPr="00F81130" w:rsidTr="00F81130">
        <w:trPr>
          <w:trHeight w:val="450"/>
        </w:trPr>
        <w:tc>
          <w:tcPr>
            <w:tcW w:w="1780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9" w:type="dxa"/>
              <w:right w:w="5" w:type="dxa"/>
            </w:tcMar>
            <w:vAlign w:val="center"/>
          </w:tcPr>
          <w:p w:rsidR="00F81130" w:rsidRPr="00F81130" w:rsidRDefault="00F81130" w:rsidP="00F8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left w:w="66" w:type="dxa"/>
              <w:right w:w="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bieżące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left w:w="66" w:type="dxa"/>
              <w:right w:w="2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majątkowe</w:t>
            </w:r>
          </w:p>
        </w:tc>
      </w:tr>
      <w:tr w:rsidR="00F81130" w:rsidRPr="00F81130">
        <w:tblPrEx>
          <w:tblCellMar>
            <w:right w:w="67" w:type="dxa"/>
          </w:tblCellMar>
        </w:tblPrEx>
        <w:trPr>
          <w:trHeight w:val="209"/>
        </w:trPr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7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81130" w:rsidRPr="00F81130">
        <w:tblPrEx>
          <w:tblCellMar>
            <w:right w:w="67" w:type="dxa"/>
          </w:tblCellMar>
        </w:tblPrEx>
        <w:trPr>
          <w:trHeight w:val="300"/>
        </w:trPr>
        <w:tc>
          <w:tcPr>
            <w:tcW w:w="1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7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77 318  173,59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1 909 393,21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75 408 780,38</w:t>
            </w:r>
          </w:p>
        </w:tc>
      </w:tr>
      <w:tr w:rsidR="00F81130" w:rsidRPr="00F81130">
        <w:tblPrEx>
          <w:tblCellMar>
            <w:right w:w="67" w:type="dxa"/>
          </w:tblCellMar>
        </w:tblPrEx>
        <w:trPr>
          <w:trHeight w:val="300"/>
        </w:trPr>
        <w:tc>
          <w:tcPr>
            <w:tcW w:w="1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7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9 188 049,96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1 735 892,27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7 452 157,69</w:t>
            </w:r>
          </w:p>
        </w:tc>
      </w:tr>
      <w:tr w:rsidR="00F81130" w:rsidRPr="00F81130">
        <w:tblPrEx>
          <w:tblCellMar>
            <w:right w:w="67" w:type="dxa"/>
          </w:tblCellMar>
        </w:tblPrEx>
        <w:trPr>
          <w:trHeight w:val="300"/>
        </w:trPr>
        <w:tc>
          <w:tcPr>
            <w:tcW w:w="17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7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1 096 430,07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1 064 689,85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31 740,22</w:t>
            </w:r>
          </w:p>
        </w:tc>
      </w:tr>
      <w:tr w:rsidR="00F81130" w:rsidRPr="00F81130">
        <w:tblPrEx>
          <w:tblCellMar>
            <w:right w:w="67" w:type="dxa"/>
          </w:tblCellMar>
        </w:tblPrEx>
        <w:trPr>
          <w:trHeight w:val="300"/>
        </w:trPr>
        <w:tc>
          <w:tcPr>
            <w:tcW w:w="17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tcMar>
              <w:left w:w="7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527 673,78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7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527 673,78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7" w:type="dxa"/>
              <w:right w:w="75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F81130" w:rsidRPr="00F81130" w:rsidRDefault="00F81130" w:rsidP="00F81130">
      <w:pPr>
        <w:widowControl w:val="0"/>
        <w:tabs>
          <w:tab w:val="left" w:pos="708"/>
          <w:tab w:val="left" w:pos="885"/>
          <w:tab w:val="left" w:pos="1140"/>
          <w:tab w:val="left" w:pos="1170"/>
          <w:tab w:val="left" w:pos="12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>WIELOLETNIE PRZEDSIĘWZIĘCIA BIEŻĄCE I MAJĄTKOWE zawiera Załącznik Nr 2.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Limity wydatków na przedsięwzięcia realizowane w 2025 r. objęte Wieloletnią Prognozą Finansową wynoszą 77.318.173,59 zł, w tym na wydatki bieżące 1.909.393,21 zł oraz wydatki majątkowe 75.408.780,38 zł. Limity zobowiązań wynoszą  52.106.625,73 zł.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lastRenderedPageBreak/>
        <w:t>Wydatki na przedsięwzięcia objęte Wieloletnią Prognozą Finansową po zmianie kształtują się następująco:</w:t>
      </w:r>
    </w:p>
    <w:tbl>
      <w:tblPr>
        <w:tblW w:w="0" w:type="auto"/>
        <w:tblInd w:w="-3" w:type="dxa"/>
        <w:tblLayout w:type="fixed"/>
        <w:tblCellMar>
          <w:left w:w="75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3135"/>
        <w:gridCol w:w="1275"/>
        <w:gridCol w:w="1155"/>
        <w:gridCol w:w="1035"/>
        <w:gridCol w:w="1020"/>
        <w:gridCol w:w="889"/>
      </w:tblGrid>
      <w:tr w:rsidR="00F81130" w:rsidRPr="00F81130">
        <w:trPr>
          <w:trHeight w:val="763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i cel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Łączne nakłady finansowe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Limit 2025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Limit 2026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7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Limit 2027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left w:w="62" w:type="dxa"/>
              <w:right w:w="7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Limit 2028</w:t>
            </w:r>
          </w:p>
        </w:tc>
      </w:tr>
      <w:tr w:rsidR="00F81130" w:rsidRPr="00F81130">
        <w:trPr>
          <w:trHeight w:val="208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Wydatki na przedsięwzięcia-ogółem (1.1+1.2+1.3)</w:t>
            </w:r>
          </w:p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103 890 086,89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77 318 173,59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9 188 049,96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1 096 430,07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3D3D3"/>
            <w:tcMar>
              <w:left w:w="62" w:type="dxa"/>
              <w:right w:w="7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527 673,78</w:t>
            </w:r>
          </w:p>
        </w:tc>
      </w:tr>
      <w:tr w:rsidR="00F81130" w:rsidRPr="00F81130">
        <w:trPr>
          <w:trHeight w:val="300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1.a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5 261 965,81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1 909 393,21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1 735 892,27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1 064 689,85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3D3D3"/>
            <w:tcMar>
              <w:left w:w="62" w:type="dxa"/>
              <w:right w:w="7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527 673,78</w:t>
            </w:r>
          </w:p>
        </w:tc>
      </w:tr>
      <w:tr w:rsidR="00F81130" w:rsidRPr="00F81130">
        <w:tblPrEx>
          <w:tblCellMar>
            <w:right w:w="64" w:type="dxa"/>
          </w:tblCellMar>
        </w:tblPrEx>
        <w:trPr>
          <w:trHeight w:val="300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1.b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6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4" w:type="dxa"/>
              <w:righ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98 628 121,08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75 408 780,38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7 452 157,69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4" w:type="dxa"/>
              <w:righ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31 740,22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3D3D3"/>
            <w:tcMar>
              <w:left w:w="64" w:type="dxa"/>
              <w:right w:w="7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130" w:rsidRPr="00F81130">
        <w:tblPrEx>
          <w:tblCellMar>
            <w:right w:w="64" w:type="dxa"/>
          </w:tblCellMar>
        </w:tblPrEx>
        <w:trPr>
          <w:trHeight w:val="1384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6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4" w:type="dxa"/>
              <w:righ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14 062 276,59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5 606 317,06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6 708 419,20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4" w:type="dxa"/>
              <w:righ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1 064 689,85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3D3D3"/>
            <w:tcMar>
              <w:left w:w="64" w:type="dxa"/>
              <w:right w:w="7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527 673,78</w:t>
            </w:r>
          </w:p>
        </w:tc>
      </w:tr>
      <w:tr w:rsidR="00F81130" w:rsidRPr="00F81130">
        <w:tblPrEx>
          <w:tblCellMar>
            <w:right w:w="64" w:type="dxa"/>
          </w:tblCellMar>
        </w:tblPrEx>
        <w:trPr>
          <w:trHeight w:val="300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6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4" w:type="dxa"/>
              <w:righ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5 169 565,81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1 886 713,21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1 685 212,27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4" w:type="dxa"/>
              <w:righ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1 064 689,85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3D3D3"/>
            <w:tcMar>
              <w:left w:w="64" w:type="dxa"/>
              <w:right w:w="7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527 673,78</w:t>
            </w:r>
          </w:p>
        </w:tc>
      </w:tr>
      <w:tr w:rsidR="00F81130" w:rsidRPr="00F81130">
        <w:tblPrEx>
          <w:tblCellMar>
            <w:right w:w="64" w:type="dxa"/>
          </w:tblCellMar>
        </w:tblPrEx>
        <w:trPr>
          <w:trHeight w:val="300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6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4" w:type="dxa"/>
              <w:righ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8 892 710,78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3 719 603,85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5 023 206,93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4" w:type="dxa"/>
              <w:righ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3D3D3"/>
            <w:tcMar>
              <w:left w:w="64" w:type="dxa"/>
              <w:right w:w="7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130" w:rsidRPr="00F81130">
        <w:tblPrEx>
          <w:tblCellMar>
            <w:right w:w="64" w:type="dxa"/>
          </w:tblCellMar>
        </w:tblPrEx>
        <w:trPr>
          <w:trHeight w:val="775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6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Wydatki na programy, projekty lub zadania związane z umowami partnerstwa publiczno-prywatnego, z tego: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4" w:type="dxa"/>
              <w:righ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4" w:type="dxa"/>
              <w:righ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3D3D3"/>
            <w:tcMar>
              <w:left w:w="64" w:type="dxa"/>
              <w:right w:w="7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130" w:rsidRPr="00F81130">
        <w:tblPrEx>
          <w:tblCellMar>
            <w:right w:w="64" w:type="dxa"/>
          </w:tblCellMar>
        </w:tblPrEx>
        <w:trPr>
          <w:trHeight w:val="300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left w:w="6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3D3D3"/>
            <w:tcMar>
              <w:left w:w="64" w:type="dxa"/>
              <w:righ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3D3D3"/>
            <w:tcMar>
              <w:left w:w="6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3D3D3"/>
            <w:tcMar>
              <w:lef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3D3D3"/>
            <w:tcMar>
              <w:left w:w="74" w:type="dxa"/>
              <w:right w:w="74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3D3D3"/>
            <w:tcMar>
              <w:left w:w="64" w:type="dxa"/>
              <w:right w:w="7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130" w:rsidRPr="00F81130">
        <w:trPr>
          <w:trHeight w:val="300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3D3D3"/>
            <w:tcMar>
              <w:left w:w="62" w:type="dxa"/>
              <w:right w:w="7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130" w:rsidRPr="00F81130">
        <w:trPr>
          <w:trHeight w:val="569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1.3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Wydatki na programy, projekty lub zadania pozostałe (inne niż wymienione w pkt 1.1 i 1.2), z tego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89 827 810,30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71 711 856,53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2 479 630,76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31 740,22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3D3D3"/>
            <w:tcMar>
              <w:left w:w="62" w:type="dxa"/>
              <w:right w:w="7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81130" w:rsidRPr="00F81130">
        <w:trPr>
          <w:trHeight w:val="300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wydatki bieżące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92 400,00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22 680,00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50 680,00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3D3D3"/>
            <w:tcMar>
              <w:left w:w="7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3D3D3"/>
            <w:tcMar>
              <w:left w:w="62" w:type="dxa"/>
              <w:right w:w="7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81130" w:rsidRPr="00F81130">
        <w:trPr>
          <w:trHeight w:val="300"/>
        </w:trPr>
        <w:tc>
          <w:tcPr>
            <w:tcW w:w="55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31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wydatki majątkowe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3D3D3"/>
            <w:tcMar>
              <w:left w:w="6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89 735 410,30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3D3D3"/>
            <w:tcMar>
              <w:left w:w="6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71 689 176,53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3D3D3"/>
            <w:tcMar>
              <w:lef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2 428 950,76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3D3D3"/>
            <w:tcMar>
              <w:left w:w="72" w:type="dxa"/>
              <w:right w:w="72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31 740,22</w:t>
            </w:r>
          </w:p>
        </w:tc>
        <w:tc>
          <w:tcPr>
            <w:tcW w:w="8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3D3D3"/>
            <w:tcMar>
              <w:left w:w="62" w:type="dxa"/>
              <w:right w:w="70" w:type="dxa"/>
            </w:tcMar>
            <w:vAlign w:val="center"/>
          </w:tcPr>
          <w:p w:rsidR="00F81130" w:rsidRPr="00F81130" w:rsidRDefault="00F81130" w:rsidP="00F8113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11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F81130" w:rsidRPr="00F81130" w:rsidRDefault="00F81130" w:rsidP="00F81130">
      <w:pPr>
        <w:widowControl w:val="0"/>
        <w:tabs>
          <w:tab w:val="left" w:pos="708"/>
          <w:tab w:val="left" w:pos="885"/>
          <w:tab w:val="left" w:pos="1140"/>
          <w:tab w:val="left" w:pos="1170"/>
          <w:tab w:val="left" w:pos="12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>1.1.1.7 (wydatki bieżące) „Zwiększenie samodzielności seniorów w miejscu ich zamieszkania (RMR)”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 xml:space="preserve">W związku z otrzymaną </w:t>
      </w:r>
      <w:r w:rsidRPr="00F81130">
        <w:rPr>
          <w:rFonts w:ascii="Times New Roman" w:hAnsi="Times New Roman" w:cs="Times New Roman"/>
          <w:color w:val="000000"/>
          <w:sz w:val="24"/>
          <w:szCs w:val="24"/>
        </w:rPr>
        <w:t xml:space="preserve">informacją od Partnera Wiodącego w Projekcie (MCPS) o zmianie procentowego udziału źródeł finansowania, koniecznym stało się dostosowanie dochodów i wydatków związanych z realizacja ww. projektu do nowego podziału (było UE-85,00% BP -15,00% a jest: UE-89,47% BP -10,53%). 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Wartości po zmianie: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Łączne nakłady finansowe to kwota 2.176.843,20 zł, w tym: UE – 1.947.621,62 zł, BP – 229.221,58 zł.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>Dochody w 2025 r.</w:t>
      </w:r>
      <w:r w:rsidRPr="00F81130">
        <w:rPr>
          <w:rFonts w:ascii="Times New Roman" w:hAnsi="Times New Roman" w:cs="Times New Roman"/>
          <w:sz w:val="24"/>
          <w:szCs w:val="24"/>
        </w:rPr>
        <w:t>: 707.474,04 zł, w tym: UE – 632.977,02 zł, BP – 74.497,02 zł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Limit wydatków w 2025 r. </w:t>
      </w:r>
      <w:r w:rsidRPr="00F81130">
        <w:rPr>
          <w:rFonts w:ascii="Times New Roman" w:hAnsi="Times New Roman" w:cs="Times New Roman"/>
          <w:sz w:val="24"/>
          <w:szCs w:val="24"/>
        </w:rPr>
        <w:t>: 530.605,53 zł, w tym UE – 474.732,78 zł, BP – 55.872,75 zł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Nadwyżka pomiędzy dochodami a wydatkami w 2025 r. w wysokości 176.868,51 zł pozwoli na realizację projektu w latach kolejnych.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>Dochody w 2026 r.</w:t>
      </w:r>
      <w:r w:rsidRPr="00F81130">
        <w:rPr>
          <w:rFonts w:ascii="Times New Roman" w:hAnsi="Times New Roman" w:cs="Times New Roman"/>
          <w:sz w:val="24"/>
          <w:szCs w:val="24"/>
        </w:rPr>
        <w:t>: 707.474,04 zł, w tym: UE – 632.977,02 zł, BP – 74.497,02 zł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 xml:space="preserve">Limit wydatków w 2026 r. </w:t>
      </w:r>
      <w:r w:rsidRPr="00F81130">
        <w:rPr>
          <w:rFonts w:ascii="Times New Roman" w:hAnsi="Times New Roman" w:cs="Times New Roman"/>
          <w:sz w:val="24"/>
          <w:szCs w:val="24"/>
        </w:rPr>
        <w:t>: 707.474,04 zł, w tym: UE – 632.977,02 zł, BP – 74.497,02 zł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>Dochody w 2027 r.</w:t>
      </w:r>
      <w:r w:rsidRPr="00F81130">
        <w:rPr>
          <w:rFonts w:ascii="Times New Roman" w:hAnsi="Times New Roman" w:cs="Times New Roman"/>
          <w:sz w:val="24"/>
          <w:szCs w:val="24"/>
        </w:rPr>
        <w:t>:</w:t>
      </w:r>
      <w:r w:rsidRPr="00F81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130">
        <w:rPr>
          <w:rFonts w:ascii="Times New Roman" w:hAnsi="Times New Roman" w:cs="Times New Roman"/>
          <w:sz w:val="24"/>
          <w:szCs w:val="24"/>
        </w:rPr>
        <w:t>761.895,12 zł, w tym: UE – 681.667,56 zł, BP – 80.227,56 zł.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>Limit wydatków w 2027 r.</w:t>
      </w:r>
      <w:r w:rsidRPr="00F81130">
        <w:rPr>
          <w:rFonts w:ascii="Times New Roman" w:hAnsi="Times New Roman" w:cs="Times New Roman"/>
          <w:sz w:val="24"/>
          <w:szCs w:val="24"/>
        </w:rPr>
        <w:t>:</w:t>
      </w:r>
      <w:r w:rsidRPr="00F81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130">
        <w:rPr>
          <w:rFonts w:ascii="Times New Roman" w:hAnsi="Times New Roman" w:cs="Times New Roman"/>
          <w:sz w:val="24"/>
          <w:szCs w:val="24"/>
        </w:rPr>
        <w:t>748.289,85 zł, w tym: UE -  669.494,93 zł, BP – 78.794,92 zł.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Nadwyżka pomiędzy dochodami a wydatkami w 2025 r. w wysokości 13 605,27 zł pozwoli na realizację projektu w kolejnym roku.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b/>
          <w:bCs/>
          <w:sz w:val="24"/>
          <w:szCs w:val="24"/>
        </w:rPr>
        <w:t>Limit wydatków w 2028 r.</w:t>
      </w:r>
      <w:r w:rsidRPr="00F81130">
        <w:rPr>
          <w:rFonts w:ascii="Times New Roman" w:hAnsi="Times New Roman" w:cs="Times New Roman"/>
          <w:sz w:val="24"/>
          <w:szCs w:val="24"/>
        </w:rPr>
        <w:t>:</w:t>
      </w:r>
      <w:r w:rsidRPr="00F81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130">
        <w:rPr>
          <w:rFonts w:ascii="Times New Roman" w:hAnsi="Times New Roman" w:cs="Times New Roman"/>
          <w:sz w:val="24"/>
          <w:szCs w:val="24"/>
        </w:rPr>
        <w:t>190.473,78 zł, w tym UE – 170.416,89 zł, BP – 20.056,89 zł.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 xml:space="preserve">Głównym celem projektu jest: stworzenie systemu świadczenia usług społecznych na rzecz osób starszych w miejscu ich zamieszkania - dotyczy osób które ukończyły 60 rok życia. </w:t>
      </w:r>
    </w:p>
    <w:p w:rsidR="00F81130" w:rsidRPr="00F81130" w:rsidRDefault="00F81130" w:rsidP="00F811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>Zakres usług będzie ustalany indywidualnie dla każdego uczestnika.</w:t>
      </w:r>
    </w:p>
    <w:p w:rsidR="00F81130" w:rsidRPr="00F81130" w:rsidRDefault="00F81130" w:rsidP="00F811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1130">
        <w:rPr>
          <w:rFonts w:ascii="Times New Roman" w:hAnsi="Times New Roman" w:cs="Times New Roman"/>
          <w:sz w:val="24"/>
          <w:szCs w:val="24"/>
        </w:rPr>
        <w:t xml:space="preserve">Projekt będzie realizowany przez Centrum Usług Społecznych poprzez rekrutację odbiorów usług społecznych, wyłonienie w trybie zamówień publicznych wykonawców usług społecznych, świadczenie usług opiekuńczych, usług  teleopieki oraz pracy socjalnej </w:t>
      </w:r>
      <w:r w:rsidRPr="00F81130">
        <w:rPr>
          <w:rFonts w:ascii="Times New Roman" w:hAnsi="Times New Roman" w:cs="Times New Roman"/>
          <w:sz w:val="24"/>
          <w:szCs w:val="24"/>
        </w:rPr>
        <w:br/>
        <w:t>z odbiorcami projektu.</w:t>
      </w:r>
    </w:p>
    <w:p w:rsidR="00F81130" w:rsidRPr="00F81130" w:rsidRDefault="00F81130" w:rsidP="00F811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7498" w:rsidRPr="00F81130" w:rsidRDefault="00637498" w:rsidP="00F81130">
      <w:bookmarkStart w:id="0" w:name="_GoBack"/>
      <w:bookmarkEnd w:id="0"/>
    </w:p>
    <w:sectPr w:rsidR="00637498" w:rsidRPr="00F81130" w:rsidSect="00026807">
      <w:footerReference w:type="default" r:id="rId5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07" w:rsidRDefault="00F81130">
    <w:pPr>
      <w:pStyle w:val="Normal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\* Arabic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rPr>
          <w:rFonts w:ascii="Symbol" w:hAnsi="Symbol" w:cs="Symbol" w:hint="default"/>
          <w:b w:val="0"/>
          <w:bCs w:val="0"/>
          <w:i w:val="0"/>
          <w:iCs w:val="0"/>
          <w:strike w:val="0"/>
          <w:color w:val="0000FF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30"/>
    <w:rsid w:val="00637498"/>
    <w:rsid w:val="00F8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A47AE-DE70-4B07-8D5A-507D7AE1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811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1798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Gipsiak</dc:creator>
  <cp:keywords/>
  <dc:description/>
  <cp:lastModifiedBy>Monika Gipsiak</cp:lastModifiedBy>
  <cp:revision>1</cp:revision>
  <dcterms:created xsi:type="dcterms:W3CDTF">2025-03-25T14:53:00Z</dcterms:created>
  <dcterms:modified xsi:type="dcterms:W3CDTF">2025-03-25T14:59:00Z</dcterms:modified>
</cp:coreProperties>
</file>